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E229" w14:textId="30F02D99" w:rsidR="00D76760" w:rsidRPr="00D76760" w:rsidRDefault="00D76760" w:rsidP="00D76760">
      <w:pPr>
        <w:rPr>
          <w:rFonts w:ascii="Aptos" w:hAnsi="Aptos"/>
          <w:b/>
          <w:bCs/>
          <w:color w:val="000000"/>
        </w:rPr>
      </w:pPr>
      <w:r w:rsidRPr="00D76760">
        <w:rPr>
          <w:rFonts w:ascii="Aptos" w:hAnsi="Aptos"/>
          <w:b/>
          <w:bCs/>
          <w:color w:val="000000"/>
          <w:sz w:val="32"/>
          <w:szCs w:val="32"/>
        </w:rPr>
        <w:t xml:space="preserve">CTE MONTH </w:t>
      </w:r>
      <w:r w:rsidRPr="00D76760">
        <w:rPr>
          <w:rFonts w:ascii="Aptos" w:hAnsi="Aptos"/>
          <w:b/>
          <w:bCs/>
          <w:color w:val="000000"/>
          <w:sz w:val="32"/>
          <w:szCs w:val="32"/>
        </w:rPr>
        <w:t>SAMPLE RESOLUTION</w:t>
      </w:r>
      <w:r w:rsidRPr="00D76760">
        <w:rPr>
          <w:rFonts w:ascii="Aptos" w:hAnsi="Aptos"/>
          <w:b/>
          <w:bCs/>
          <w:color w:val="000000"/>
        </w:rPr>
        <w:br/>
        <w:t>Declaring February 2026 as Career and Technical Education (CTE) Month</w:t>
      </w:r>
    </w:p>
    <w:p w14:paraId="411BE72B" w14:textId="77777777" w:rsidR="00D76760" w:rsidRDefault="00D76760" w:rsidP="00D76760">
      <w:pPr>
        <w:rPr>
          <w:rFonts w:ascii="Aptos" w:hAnsi="Aptos"/>
          <w:color w:val="000000"/>
        </w:rPr>
      </w:pPr>
    </w:p>
    <w:p w14:paraId="5F3D63F8" w14:textId="77777777" w:rsidR="00D76760" w:rsidRDefault="00D76760" w:rsidP="00D76760">
      <w:pPr>
        <w:rPr>
          <w:rFonts w:ascii="Aptos" w:hAnsi="Aptos"/>
          <w:color w:val="000000"/>
        </w:rPr>
      </w:pPr>
      <w:r w:rsidRPr="00D76760">
        <w:rPr>
          <w:rFonts w:ascii="Aptos" w:hAnsi="Aptos"/>
          <w:color w:val="000000"/>
        </w:rPr>
        <w:t>[COMMUNITY COLLEGE NAME] BOARD OF EDUCATION</w:t>
      </w:r>
      <w:r w:rsidRPr="00D76760">
        <w:rPr>
          <w:rFonts w:ascii="Aptos" w:hAnsi="Aptos"/>
          <w:color w:val="000000"/>
        </w:rPr>
        <w:br/>
        <w:t>RESOLUTION NO. [####-##]</w:t>
      </w:r>
      <w:r w:rsidRPr="00D76760">
        <w:rPr>
          <w:rFonts w:ascii="Aptos" w:hAnsi="Aptos"/>
          <w:color w:val="000000"/>
        </w:rPr>
        <w:br/>
      </w:r>
    </w:p>
    <w:p w14:paraId="724E30DC" w14:textId="66803350" w:rsidR="00D76760" w:rsidRPr="00D76760" w:rsidRDefault="00D76760" w:rsidP="00D76760">
      <w:pPr>
        <w:rPr>
          <w:rFonts w:ascii="Aptos" w:hAnsi="Aptos"/>
          <w:color w:val="000000"/>
        </w:rPr>
      </w:pPr>
      <w:r w:rsidRPr="00D76760">
        <w:rPr>
          <w:rFonts w:ascii="Aptos" w:hAnsi="Aptos"/>
          <w:color w:val="000000"/>
        </w:rPr>
        <w:t>Adopted: [DATE]</w:t>
      </w:r>
    </w:p>
    <w:p w14:paraId="61F75363" w14:textId="77777777" w:rsidR="00D76760" w:rsidRDefault="00D76760" w:rsidP="00D76760">
      <w:pPr>
        <w:rPr>
          <w:rFonts w:ascii="Aptos" w:hAnsi="Aptos"/>
          <w:color w:val="000000"/>
        </w:rPr>
      </w:pPr>
    </w:p>
    <w:p w14:paraId="3CB54C54" w14:textId="51310E1D" w:rsidR="00D76760" w:rsidRPr="00D76760" w:rsidRDefault="00D76760" w:rsidP="00D76760">
      <w:pPr>
        <w:rPr>
          <w:rFonts w:ascii="Aptos" w:hAnsi="Aptos"/>
          <w:b/>
          <w:bCs/>
          <w:color w:val="000000"/>
        </w:rPr>
      </w:pPr>
      <w:r w:rsidRPr="00D76760">
        <w:rPr>
          <w:rFonts w:ascii="Aptos" w:hAnsi="Aptos"/>
          <w:b/>
          <w:bCs/>
          <w:color w:val="000000"/>
        </w:rPr>
        <w:t>A RESOLUTION DECLARING FEBRUARY 2026 AS CAREER AND TECHNICAL EDUCATION (CTE) MONTH</w:t>
      </w:r>
    </w:p>
    <w:p w14:paraId="037A0E2E" w14:textId="77777777" w:rsidR="00D76760" w:rsidRDefault="00D76760" w:rsidP="00D76760">
      <w:pPr>
        <w:rPr>
          <w:rFonts w:ascii="Aptos" w:hAnsi="Aptos"/>
          <w:color w:val="000000"/>
        </w:rPr>
      </w:pPr>
    </w:p>
    <w:p w14:paraId="123DF548" w14:textId="6846E989" w:rsidR="00D76760" w:rsidRPr="00D76760" w:rsidRDefault="00D76760" w:rsidP="00D76760">
      <w:pPr>
        <w:rPr>
          <w:rFonts w:ascii="Aptos" w:hAnsi="Aptos"/>
          <w:color w:val="000000"/>
        </w:rPr>
      </w:pPr>
      <w:proofErr w:type="gramStart"/>
      <w:r w:rsidRPr="00D76760">
        <w:rPr>
          <w:rFonts w:ascii="Aptos" w:hAnsi="Aptos"/>
          <w:b/>
          <w:bCs/>
          <w:color w:val="000000"/>
        </w:rPr>
        <w:t>WHEREAS</w:t>
      </w:r>
      <w:r w:rsidRPr="00D76760">
        <w:rPr>
          <w:rFonts w:ascii="Aptos" w:hAnsi="Aptos"/>
          <w:color w:val="000000"/>
        </w:rPr>
        <w:t>,</w:t>
      </w:r>
      <w:proofErr w:type="gramEnd"/>
      <w:r w:rsidRPr="00D76760">
        <w:rPr>
          <w:rFonts w:ascii="Aptos" w:hAnsi="Aptos"/>
          <w:color w:val="000000"/>
        </w:rPr>
        <w:t xml:space="preserve"> Career and Technical Education (CTE) programs at Oregon community colleges provide high-quality, hands-on learning that prepares students for in-demand careers and supports Oregon’s economic vitality; and</w:t>
      </w:r>
    </w:p>
    <w:p w14:paraId="23B0B051" w14:textId="77777777" w:rsidR="00D76760" w:rsidRDefault="00D76760" w:rsidP="00D76760">
      <w:pPr>
        <w:rPr>
          <w:rFonts w:ascii="Aptos" w:hAnsi="Aptos"/>
          <w:color w:val="000000"/>
        </w:rPr>
      </w:pPr>
    </w:p>
    <w:p w14:paraId="6DF7788F" w14:textId="7C7EB347" w:rsidR="00D76760" w:rsidRPr="00D76760" w:rsidRDefault="00D76760" w:rsidP="00D76760">
      <w:pPr>
        <w:rPr>
          <w:rFonts w:ascii="Aptos" w:hAnsi="Aptos"/>
          <w:color w:val="000000"/>
        </w:rPr>
      </w:pPr>
      <w:r w:rsidRPr="00D76760">
        <w:rPr>
          <w:rFonts w:ascii="Aptos" w:hAnsi="Aptos"/>
          <w:b/>
          <w:bCs/>
          <w:color w:val="000000"/>
        </w:rPr>
        <w:t>WHEREAS</w:t>
      </w:r>
      <w:r w:rsidRPr="00D76760">
        <w:rPr>
          <w:rFonts w:ascii="Aptos" w:hAnsi="Aptos"/>
          <w:color w:val="000000"/>
        </w:rPr>
        <w:t>, Oregon’s 17 community colleges serve as a primary workforce and talent-development system for the state, connecting learners to credentials, certificates, degrees, apprenticeships, and industry-recognized training aligned with local and statewide workforce needs; and</w:t>
      </w:r>
    </w:p>
    <w:p w14:paraId="6E973011" w14:textId="77777777" w:rsidR="00D76760" w:rsidRDefault="00D76760" w:rsidP="00D76760">
      <w:pPr>
        <w:rPr>
          <w:rFonts w:ascii="Aptos" w:hAnsi="Aptos"/>
          <w:color w:val="000000"/>
        </w:rPr>
      </w:pPr>
    </w:p>
    <w:p w14:paraId="49D90900" w14:textId="4C68E147" w:rsidR="00D76760" w:rsidRPr="00D76760" w:rsidRDefault="00D76760" w:rsidP="00D76760">
      <w:pPr>
        <w:rPr>
          <w:rFonts w:ascii="Aptos" w:hAnsi="Aptos"/>
          <w:color w:val="000000"/>
        </w:rPr>
      </w:pPr>
      <w:proofErr w:type="gramStart"/>
      <w:r w:rsidRPr="00D76760">
        <w:rPr>
          <w:rFonts w:ascii="Aptos" w:hAnsi="Aptos"/>
          <w:b/>
          <w:bCs/>
          <w:color w:val="000000"/>
        </w:rPr>
        <w:t>WHEREAS</w:t>
      </w:r>
      <w:r w:rsidRPr="00D76760">
        <w:rPr>
          <w:rFonts w:ascii="Aptos" w:hAnsi="Aptos"/>
          <w:color w:val="000000"/>
        </w:rPr>
        <w:t>,</w:t>
      </w:r>
      <w:proofErr w:type="gramEnd"/>
      <w:r w:rsidRPr="00D76760">
        <w:rPr>
          <w:rFonts w:ascii="Aptos" w:hAnsi="Aptos"/>
          <w:color w:val="000000"/>
        </w:rPr>
        <w:t xml:space="preserve"> Community college CTE programs serve learners of all ages and backgrounds—including recent high school graduates, working adults seeking to upskill or reskill, veterans, incumbent workers, and career-changers—helping Oregonians access family-wage employment and career advancement; and</w:t>
      </w:r>
    </w:p>
    <w:p w14:paraId="7CF0DD8F" w14:textId="77777777" w:rsidR="00D76760" w:rsidRDefault="00D76760" w:rsidP="00D76760">
      <w:pPr>
        <w:rPr>
          <w:rFonts w:ascii="Aptos" w:hAnsi="Aptos"/>
          <w:color w:val="000000"/>
        </w:rPr>
      </w:pPr>
    </w:p>
    <w:p w14:paraId="263B1301" w14:textId="391BDCC2" w:rsidR="00D76760" w:rsidRPr="00D76760" w:rsidRDefault="00D76760" w:rsidP="00D76760">
      <w:pPr>
        <w:rPr>
          <w:rFonts w:ascii="Aptos" w:hAnsi="Aptos"/>
          <w:color w:val="000000"/>
        </w:rPr>
      </w:pPr>
      <w:proofErr w:type="gramStart"/>
      <w:r w:rsidRPr="00D76760">
        <w:rPr>
          <w:rFonts w:ascii="Aptos" w:hAnsi="Aptos"/>
          <w:b/>
          <w:bCs/>
          <w:color w:val="000000"/>
        </w:rPr>
        <w:t>WHEREAS</w:t>
      </w:r>
      <w:r w:rsidRPr="00D76760">
        <w:rPr>
          <w:rFonts w:ascii="Aptos" w:hAnsi="Aptos"/>
          <w:color w:val="000000"/>
        </w:rPr>
        <w:t>,</w:t>
      </w:r>
      <w:proofErr w:type="gramEnd"/>
      <w:r w:rsidRPr="00D76760">
        <w:rPr>
          <w:rFonts w:ascii="Aptos" w:hAnsi="Aptos"/>
          <w:color w:val="000000"/>
        </w:rPr>
        <w:t xml:space="preserve"> CTE programs are developed and continuously strengthened in partnership with employers, labor organizations, workforce partners, and regional advisory committees to ensure curriculum and equipment reflect current industry standards; and</w:t>
      </w:r>
    </w:p>
    <w:p w14:paraId="5F5225D1" w14:textId="77777777" w:rsidR="00D76760" w:rsidRDefault="00D76760" w:rsidP="00D76760">
      <w:pPr>
        <w:rPr>
          <w:rFonts w:ascii="Aptos" w:hAnsi="Aptos"/>
          <w:color w:val="000000"/>
        </w:rPr>
      </w:pPr>
    </w:p>
    <w:p w14:paraId="4354C436" w14:textId="3F70A40C" w:rsidR="00D76760" w:rsidRPr="00D76760" w:rsidRDefault="00D76760" w:rsidP="00D76760">
      <w:pPr>
        <w:rPr>
          <w:rFonts w:ascii="Aptos" w:hAnsi="Aptos"/>
          <w:color w:val="000000"/>
        </w:rPr>
      </w:pPr>
      <w:proofErr w:type="gramStart"/>
      <w:r w:rsidRPr="00D76760">
        <w:rPr>
          <w:rFonts w:ascii="Aptos" w:hAnsi="Aptos"/>
          <w:b/>
          <w:bCs/>
          <w:color w:val="000000"/>
        </w:rPr>
        <w:t>WHEREAS</w:t>
      </w:r>
      <w:r w:rsidRPr="00D76760">
        <w:rPr>
          <w:rFonts w:ascii="Aptos" w:hAnsi="Aptos"/>
          <w:color w:val="000000"/>
        </w:rPr>
        <w:t>,</w:t>
      </w:r>
      <w:proofErr w:type="gramEnd"/>
      <w:r w:rsidRPr="00D76760">
        <w:rPr>
          <w:rFonts w:ascii="Aptos" w:hAnsi="Aptos"/>
          <w:color w:val="000000"/>
        </w:rPr>
        <w:t xml:space="preserve"> CTE pathways support Oregon’s priority industries and essential services, including advanced manufacturing, construction trades, healthcare, information technology, transportation, agriculture, natural resources, public safety, and emerging technologies; and</w:t>
      </w:r>
    </w:p>
    <w:p w14:paraId="229863A9" w14:textId="77777777" w:rsidR="00D76760" w:rsidRDefault="00D76760" w:rsidP="00D76760">
      <w:pPr>
        <w:rPr>
          <w:rFonts w:ascii="Aptos" w:hAnsi="Aptos"/>
          <w:color w:val="000000"/>
        </w:rPr>
      </w:pPr>
    </w:p>
    <w:p w14:paraId="25F823F6" w14:textId="6D81AB60" w:rsidR="00D76760" w:rsidRPr="00D76760" w:rsidRDefault="00D76760" w:rsidP="00D76760">
      <w:pPr>
        <w:rPr>
          <w:rFonts w:ascii="Aptos" w:hAnsi="Aptos"/>
          <w:color w:val="000000"/>
        </w:rPr>
      </w:pPr>
      <w:r w:rsidRPr="00D76760">
        <w:rPr>
          <w:rFonts w:ascii="Aptos" w:hAnsi="Aptos"/>
          <w:b/>
          <w:bCs/>
          <w:color w:val="000000"/>
        </w:rPr>
        <w:t>WHEREAS</w:t>
      </w:r>
      <w:r w:rsidRPr="00D76760">
        <w:rPr>
          <w:rFonts w:ascii="Aptos" w:hAnsi="Aptos"/>
          <w:color w:val="000000"/>
        </w:rPr>
        <w:t xml:space="preserve">, </w:t>
      </w:r>
      <w:proofErr w:type="gramStart"/>
      <w:r w:rsidRPr="00D76760">
        <w:rPr>
          <w:rFonts w:ascii="Aptos" w:hAnsi="Aptos"/>
          <w:color w:val="000000"/>
        </w:rPr>
        <w:t>By</w:t>
      </w:r>
      <w:proofErr w:type="gramEnd"/>
      <w:r w:rsidRPr="00D76760">
        <w:rPr>
          <w:rFonts w:ascii="Aptos" w:hAnsi="Aptos"/>
          <w:color w:val="000000"/>
        </w:rPr>
        <w:t xml:space="preserve"> producing job-ready graduates and supporting business growth, CTE programs help strengthen local economies, improve productivity, and address workforce shortages that affect communities across Oregon; and</w:t>
      </w:r>
    </w:p>
    <w:p w14:paraId="24DE62D7" w14:textId="77777777" w:rsidR="00D76760" w:rsidRDefault="00D76760" w:rsidP="00D76760">
      <w:pPr>
        <w:rPr>
          <w:rFonts w:ascii="Aptos" w:hAnsi="Aptos"/>
          <w:color w:val="000000"/>
        </w:rPr>
      </w:pPr>
    </w:p>
    <w:p w14:paraId="3B884DC3" w14:textId="4B33FF85" w:rsidR="00D76760" w:rsidRPr="00D76760" w:rsidRDefault="00D76760" w:rsidP="00D76760">
      <w:pPr>
        <w:rPr>
          <w:rFonts w:ascii="Aptos" w:hAnsi="Aptos"/>
          <w:color w:val="000000"/>
        </w:rPr>
      </w:pPr>
      <w:proofErr w:type="gramStart"/>
      <w:r w:rsidRPr="00D76760">
        <w:rPr>
          <w:rFonts w:ascii="Aptos" w:hAnsi="Aptos"/>
          <w:b/>
          <w:bCs/>
          <w:color w:val="000000"/>
        </w:rPr>
        <w:t>WHEREAS</w:t>
      </w:r>
      <w:r w:rsidRPr="00D76760">
        <w:rPr>
          <w:rFonts w:ascii="Aptos" w:hAnsi="Aptos"/>
          <w:color w:val="000000"/>
        </w:rPr>
        <w:t>,</w:t>
      </w:r>
      <w:proofErr w:type="gramEnd"/>
      <w:r w:rsidRPr="00D76760">
        <w:rPr>
          <w:rFonts w:ascii="Aptos" w:hAnsi="Aptos"/>
          <w:color w:val="000000"/>
        </w:rPr>
        <w:t xml:space="preserve"> Career and Technical Education Month is an opportunity to recognize the students, faculty, staff, and employer partners who make these programs possible, and to celebrate the role of CTE in building a resilient workforce for Oregon’s </w:t>
      </w:r>
      <w:proofErr w:type="gramStart"/>
      <w:r w:rsidRPr="00D76760">
        <w:rPr>
          <w:rFonts w:ascii="Aptos" w:hAnsi="Aptos"/>
          <w:color w:val="000000"/>
        </w:rPr>
        <w:t>future;</w:t>
      </w:r>
      <w:proofErr w:type="gramEnd"/>
    </w:p>
    <w:p w14:paraId="67E34D6A" w14:textId="77777777" w:rsidR="00D76760" w:rsidRDefault="00D76760" w:rsidP="00D76760">
      <w:pPr>
        <w:rPr>
          <w:rFonts w:ascii="Aptos" w:hAnsi="Aptos"/>
          <w:color w:val="000000"/>
        </w:rPr>
      </w:pPr>
    </w:p>
    <w:p w14:paraId="771C10EC" w14:textId="02829D90" w:rsidR="00D76760" w:rsidRPr="00D76760" w:rsidRDefault="00D76760" w:rsidP="00D76760">
      <w:pPr>
        <w:rPr>
          <w:rFonts w:ascii="Aptos" w:hAnsi="Aptos"/>
          <w:color w:val="000000"/>
        </w:rPr>
      </w:pPr>
      <w:r w:rsidRPr="00D76760">
        <w:rPr>
          <w:rFonts w:ascii="Aptos" w:hAnsi="Aptos"/>
          <w:b/>
          <w:bCs/>
          <w:color w:val="000000"/>
        </w:rPr>
        <w:lastRenderedPageBreak/>
        <w:t>NOW, THEREFORE, BE IT RESOLVED</w:t>
      </w:r>
      <w:r w:rsidRPr="00D76760">
        <w:rPr>
          <w:rFonts w:ascii="Aptos" w:hAnsi="Aptos"/>
          <w:color w:val="000000"/>
        </w:rPr>
        <w:t>, that the [COMMUNITY COLLEGE NAME] Board of Education hereby declares February 2026 as Career and Technical Education (CTE) Month; and</w:t>
      </w:r>
    </w:p>
    <w:p w14:paraId="10499767" w14:textId="77777777" w:rsidR="00D76760" w:rsidRDefault="00D76760" w:rsidP="00D76760">
      <w:pPr>
        <w:rPr>
          <w:rFonts w:ascii="Aptos" w:hAnsi="Aptos"/>
          <w:color w:val="000000"/>
        </w:rPr>
      </w:pPr>
    </w:p>
    <w:p w14:paraId="0AC21AD5" w14:textId="43DB6B2D" w:rsidR="00D76760" w:rsidRPr="00D76760" w:rsidRDefault="00D76760" w:rsidP="00D76760">
      <w:pPr>
        <w:rPr>
          <w:rFonts w:ascii="Aptos" w:hAnsi="Aptos"/>
          <w:color w:val="000000"/>
        </w:rPr>
      </w:pPr>
      <w:r w:rsidRPr="00D76760">
        <w:rPr>
          <w:rFonts w:ascii="Aptos" w:hAnsi="Aptos"/>
          <w:b/>
          <w:bCs/>
          <w:color w:val="000000"/>
        </w:rPr>
        <w:t xml:space="preserve">BE IT </w:t>
      </w:r>
      <w:proofErr w:type="gramStart"/>
      <w:r w:rsidRPr="00D76760">
        <w:rPr>
          <w:rFonts w:ascii="Aptos" w:hAnsi="Aptos"/>
          <w:b/>
          <w:bCs/>
          <w:color w:val="000000"/>
        </w:rPr>
        <w:t>FURTHER RESOLVED</w:t>
      </w:r>
      <w:r w:rsidRPr="00D76760">
        <w:rPr>
          <w:rFonts w:ascii="Aptos" w:hAnsi="Aptos"/>
          <w:color w:val="000000"/>
        </w:rPr>
        <w:t>,</w:t>
      </w:r>
      <w:proofErr w:type="gramEnd"/>
      <w:r w:rsidRPr="00D76760">
        <w:rPr>
          <w:rFonts w:ascii="Aptos" w:hAnsi="Aptos"/>
          <w:color w:val="000000"/>
        </w:rPr>
        <w:t xml:space="preserve"> that the Board encourages students, employees, and community partners to recognize and celebrate the impact of CTE, and to participate in campus and community activities that highlight CTE programs, student success, and employer partnerships</w:t>
      </w:r>
      <w:r>
        <w:rPr>
          <w:rFonts w:ascii="Aptos" w:hAnsi="Aptos"/>
          <w:color w:val="000000"/>
        </w:rPr>
        <w:t>.</w:t>
      </w:r>
    </w:p>
    <w:p w14:paraId="68D5AA70" w14:textId="77777777" w:rsidR="00D76760" w:rsidRDefault="00D76760" w:rsidP="00D76760">
      <w:pPr>
        <w:rPr>
          <w:rFonts w:ascii="Aptos" w:hAnsi="Aptos"/>
          <w:color w:val="000000"/>
        </w:rPr>
      </w:pPr>
    </w:p>
    <w:p w14:paraId="42215431" w14:textId="77777777" w:rsidR="00D76760" w:rsidRPr="00D76760" w:rsidRDefault="00D76760" w:rsidP="00D76760">
      <w:pPr>
        <w:rPr>
          <w:rFonts w:ascii="Aptos" w:hAnsi="Aptos"/>
          <w:color w:val="000000"/>
        </w:rPr>
      </w:pPr>
      <w:r w:rsidRPr="00D76760">
        <w:rPr>
          <w:rFonts w:ascii="Aptos" w:hAnsi="Aptos"/>
          <w:color w:val="000000"/>
        </w:rPr>
        <w:t xml:space="preserve">ADOPTED by the [COMMUNITY COLLEGE NAME] Board of Education this </w:t>
      </w:r>
      <w:proofErr w:type="gramStart"/>
      <w:r w:rsidRPr="00D76760">
        <w:rPr>
          <w:rFonts w:ascii="Aptos" w:hAnsi="Aptos"/>
          <w:color w:val="000000"/>
        </w:rPr>
        <w:t>___ day of _</w:t>
      </w:r>
      <w:proofErr w:type="gramEnd"/>
      <w:r w:rsidRPr="00D76760">
        <w:rPr>
          <w:rFonts w:ascii="Aptos" w:hAnsi="Aptos"/>
          <w:color w:val="000000"/>
        </w:rPr>
        <w:t>___________, 2026.</w:t>
      </w:r>
    </w:p>
    <w:p w14:paraId="13A7BD96" w14:textId="3C2D3930" w:rsidR="00D76760" w:rsidRPr="00D76760" w:rsidRDefault="00D76760" w:rsidP="00D76760">
      <w:pPr>
        <w:rPr>
          <w:rFonts w:ascii="Aptos" w:hAnsi="Aptos"/>
          <w:color w:val="000000"/>
        </w:rPr>
      </w:pPr>
    </w:p>
    <w:p w14:paraId="395CE796" w14:textId="77777777" w:rsidR="00D76760" w:rsidRDefault="00D76760" w:rsidP="00D76760">
      <w:pPr>
        <w:rPr>
          <w:rFonts w:ascii="Aptos" w:hAnsi="Aptos"/>
          <w:color w:val="000000"/>
        </w:rPr>
      </w:pPr>
    </w:p>
    <w:p w14:paraId="0C88797A" w14:textId="55C673FF" w:rsidR="008C21FF" w:rsidRPr="00D76760" w:rsidRDefault="00D76760" w:rsidP="00D76760">
      <w:pPr>
        <w:rPr>
          <w:rFonts w:ascii="Aptos" w:hAnsi="Aptos"/>
          <w:color w:val="000000"/>
        </w:rPr>
      </w:pPr>
      <w:r w:rsidRPr="00D76760">
        <w:rPr>
          <w:rFonts w:ascii="Aptos" w:hAnsi="Aptos"/>
          <w:color w:val="000000"/>
        </w:rPr>
        <w:t>______________________________</w:t>
      </w:r>
      <w:r w:rsidRPr="00D76760">
        <w:rPr>
          <w:rFonts w:ascii="Aptos" w:hAnsi="Aptos"/>
          <w:color w:val="000000"/>
        </w:rPr>
        <w:br/>
        <w:t>Board Chair, [Community College Name]</w:t>
      </w:r>
    </w:p>
    <w:sectPr w:rsidR="008C21FF" w:rsidRPr="00D76760" w:rsidSect="00D7676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1129C" w14:textId="77777777" w:rsidR="006B410A" w:rsidRDefault="006B410A">
      <w:r>
        <w:separator/>
      </w:r>
    </w:p>
  </w:endnote>
  <w:endnote w:type="continuationSeparator" w:id="0">
    <w:p w14:paraId="006D4AF6" w14:textId="77777777" w:rsidR="006B410A" w:rsidRDefault="006B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79434" w14:textId="77777777" w:rsidR="006B410A" w:rsidRDefault="006B410A">
      <w:r>
        <w:separator/>
      </w:r>
    </w:p>
  </w:footnote>
  <w:footnote w:type="continuationSeparator" w:id="0">
    <w:p w14:paraId="16DEA8FA" w14:textId="77777777" w:rsidR="006B410A" w:rsidRDefault="006B4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42E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F8C4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9C1E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65660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C4F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B61C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2C51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46BC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A6F7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F2EFE6"/>
    <w:lvl w:ilvl="0">
      <w:start w:val="1"/>
      <w:numFmt w:val="bullet"/>
      <w:lvlText w:val=""/>
      <w:lvlJc w:val="left"/>
      <w:pPr>
        <w:tabs>
          <w:tab w:val="num" w:pos="360"/>
        </w:tabs>
        <w:ind w:left="360" w:hanging="360"/>
      </w:pPr>
      <w:rPr>
        <w:rFonts w:ascii="Symbol" w:hAnsi="Symbol" w:hint="default"/>
      </w:rPr>
    </w:lvl>
  </w:abstractNum>
  <w:num w:numId="1" w16cid:durableId="2026707015">
    <w:abstractNumId w:val="9"/>
  </w:num>
  <w:num w:numId="2" w16cid:durableId="304237827">
    <w:abstractNumId w:val="7"/>
  </w:num>
  <w:num w:numId="3" w16cid:durableId="993220494">
    <w:abstractNumId w:val="6"/>
  </w:num>
  <w:num w:numId="4" w16cid:durableId="880364141">
    <w:abstractNumId w:val="5"/>
  </w:num>
  <w:num w:numId="5" w16cid:durableId="2015378182">
    <w:abstractNumId w:val="4"/>
  </w:num>
  <w:num w:numId="6" w16cid:durableId="506793926">
    <w:abstractNumId w:val="8"/>
  </w:num>
  <w:num w:numId="7" w16cid:durableId="1180043764">
    <w:abstractNumId w:val="3"/>
  </w:num>
  <w:num w:numId="8" w16cid:durableId="197008930">
    <w:abstractNumId w:val="2"/>
  </w:num>
  <w:num w:numId="9" w16cid:durableId="1132593767">
    <w:abstractNumId w:val="1"/>
  </w:num>
  <w:num w:numId="10" w16cid:durableId="141178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35"/>
    <w:rsid w:val="00071860"/>
    <w:rsid w:val="000F274E"/>
    <w:rsid w:val="001023CF"/>
    <w:rsid w:val="00126A88"/>
    <w:rsid w:val="00153764"/>
    <w:rsid w:val="001B3B43"/>
    <w:rsid w:val="001F5EF3"/>
    <w:rsid w:val="002317F1"/>
    <w:rsid w:val="002407B3"/>
    <w:rsid w:val="002645A1"/>
    <w:rsid w:val="00271BDB"/>
    <w:rsid w:val="002C321D"/>
    <w:rsid w:val="002E66E1"/>
    <w:rsid w:val="002F2E95"/>
    <w:rsid w:val="00305693"/>
    <w:rsid w:val="0031365C"/>
    <w:rsid w:val="00370248"/>
    <w:rsid w:val="003D08AB"/>
    <w:rsid w:val="00455E6E"/>
    <w:rsid w:val="004A30DD"/>
    <w:rsid w:val="004E49AF"/>
    <w:rsid w:val="00515C24"/>
    <w:rsid w:val="00531AB7"/>
    <w:rsid w:val="00542009"/>
    <w:rsid w:val="00550412"/>
    <w:rsid w:val="00554197"/>
    <w:rsid w:val="00596B98"/>
    <w:rsid w:val="005C42A6"/>
    <w:rsid w:val="005E2BA1"/>
    <w:rsid w:val="006037C0"/>
    <w:rsid w:val="00633522"/>
    <w:rsid w:val="00635791"/>
    <w:rsid w:val="006511CE"/>
    <w:rsid w:val="00695840"/>
    <w:rsid w:val="006B410A"/>
    <w:rsid w:val="006D7902"/>
    <w:rsid w:val="006E4661"/>
    <w:rsid w:val="006F1FCC"/>
    <w:rsid w:val="006F3A44"/>
    <w:rsid w:val="00792E35"/>
    <w:rsid w:val="00815B00"/>
    <w:rsid w:val="00832F3C"/>
    <w:rsid w:val="008743A6"/>
    <w:rsid w:val="008928BF"/>
    <w:rsid w:val="00897D3C"/>
    <w:rsid w:val="008C21FF"/>
    <w:rsid w:val="00920730"/>
    <w:rsid w:val="00944262"/>
    <w:rsid w:val="00956E85"/>
    <w:rsid w:val="00980B78"/>
    <w:rsid w:val="009F5204"/>
    <w:rsid w:val="00A126F3"/>
    <w:rsid w:val="00A70A5B"/>
    <w:rsid w:val="00A75A11"/>
    <w:rsid w:val="00A80B5B"/>
    <w:rsid w:val="00A91BDF"/>
    <w:rsid w:val="00B00B66"/>
    <w:rsid w:val="00B465CB"/>
    <w:rsid w:val="00B53BCF"/>
    <w:rsid w:val="00B653B7"/>
    <w:rsid w:val="00B8465C"/>
    <w:rsid w:val="00B8754A"/>
    <w:rsid w:val="00BA3183"/>
    <w:rsid w:val="00BA4717"/>
    <w:rsid w:val="00BF1275"/>
    <w:rsid w:val="00C179D1"/>
    <w:rsid w:val="00C466BE"/>
    <w:rsid w:val="00CE53C2"/>
    <w:rsid w:val="00D34A32"/>
    <w:rsid w:val="00D55BB7"/>
    <w:rsid w:val="00D76760"/>
    <w:rsid w:val="00DD0385"/>
    <w:rsid w:val="00DF264D"/>
    <w:rsid w:val="00E0730E"/>
    <w:rsid w:val="00E10351"/>
    <w:rsid w:val="00E50E92"/>
    <w:rsid w:val="00E82AD8"/>
    <w:rsid w:val="00F474ED"/>
    <w:rsid w:val="00F9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29E9D"/>
  <w15:chartTrackingRefBased/>
  <w15:docId w15:val="{892A2E45-56A0-4A23-A51A-5E2ABE20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E35"/>
    <w:rPr>
      <w:sz w:val="24"/>
      <w:szCs w:val="24"/>
    </w:rPr>
  </w:style>
  <w:style w:type="paragraph" w:styleId="Heading1">
    <w:name w:val="heading 1"/>
    <w:basedOn w:val="Normal"/>
    <w:next w:val="Normal"/>
    <w:qFormat/>
    <w:rsid w:val="00B465CB"/>
    <w:pPr>
      <w:keepNext/>
      <w:spacing w:before="240" w:after="60"/>
      <w:outlineLvl w:val="0"/>
    </w:pPr>
    <w:rPr>
      <w:rFonts w:cs="Arial"/>
      <w:b/>
      <w:bCs/>
      <w:kern w:val="32"/>
      <w:sz w:val="36"/>
      <w:szCs w:val="32"/>
    </w:rPr>
  </w:style>
  <w:style w:type="paragraph" w:styleId="Heading2">
    <w:name w:val="heading 2"/>
    <w:basedOn w:val="Normal"/>
    <w:next w:val="Normal"/>
    <w:qFormat/>
    <w:rsid w:val="00B465CB"/>
    <w:pPr>
      <w:keepNext/>
      <w:spacing w:before="240" w:after="60"/>
      <w:outlineLvl w:val="1"/>
    </w:pPr>
    <w:rPr>
      <w:rFonts w:cs="Arial"/>
      <w:b/>
      <w:bCs/>
      <w:iCs/>
      <w:sz w:val="28"/>
      <w:szCs w:val="28"/>
    </w:rPr>
  </w:style>
  <w:style w:type="paragraph" w:styleId="Heading3">
    <w:name w:val="heading 3"/>
    <w:basedOn w:val="Normal"/>
    <w:next w:val="Normal"/>
    <w:qFormat/>
    <w:rsid w:val="00B465CB"/>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4661"/>
    <w:pPr>
      <w:spacing w:after="120"/>
    </w:pPr>
  </w:style>
  <w:style w:type="paragraph" w:styleId="FootnoteText">
    <w:name w:val="footnote text"/>
    <w:basedOn w:val="Normal"/>
    <w:semiHidden/>
    <w:rsid w:val="001B3B43"/>
    <w:rPr>
      <w:sz w:val="16"/>
      <w:szCs w:val="20"/>
    </w:rPr>
  </w:style>
  <w:style w:type="character" w:styleId="FootnoteReference">
    <w:name w:val="footnote reference"/>
    <w:semiHidden/>
    <w:rsid w:val="001B3B43"/>
    <w:rPr>
      <w:vertAlign w:val="superscript"/>
    </w:rPr>
  </w:style>
  <w:style w:type="character" w:styleId="CommentReference">
    <w:name w:val="annotation reference"/>
    <w:rsid w:val="00BA3183"/>
    <w:rPr>
      <w:sz w:val="16"/>
      <w:szCs w:val="16"/>
    </w:rPr>
  </w:style>
  <w:style w:type="paragraph" w:styleId="CommentText">
    <w:name w:val="annotation text"/>
    <w:basedOn w:val="Normal"/>
    <w:link w:val="CommentTextChar"/>
    <w:rsid w:val="00BA3183"/>
    <w:rPr>
      <w:sz w:val="20"/>
      <w:szCs w:val="20"/>
    </w:rPr>
  </w:style>
  <w:style w:type="character" w:customStyle="1" w:styleId="CommentTextChar">
    <w:name w:val="Comment Text Char"/>
    <w:basedOn w:val="DefaultParagraphFont"/>
    <w:link w:val="CommentText"/>
    <w:rsid w:val="00BA3183"/>
  </w:style>
  <w:style w:type="paragraph" w:styleId="CommentSubject">
    <w:name w:val="annotation subject"/>
    <w:basedOn w:val="CommentText"/>
    <w:next w:val="CommentText"/>
    <w:link w:val="CommentSubjectChar"/>
    <w:rsid w:val="00BA3183"/>
    <w:rPr>
      <w:b/>
      <w:bCs/>
    </w:rPr>
  </w:style>
  <w:style w:type="character" w:customStyle="1" w:styleId="CommentSubjectChar">
    <w:name w:val="Comment Subject Char"/>
    <w:link w:val="CommentSubject"/>
    <w:rsid w:val="00BA3183"/>
    <w:rPr>
      <w:b/>
      <w:bCs/>
    </w:rPr>
  </w:style>
  <w:style w:type="paragraph" w:styleId="BalloonText">
    <w:name w:val="Balloon Text"/>
    <w:basedOn w:val="Normal"/>
    <w:link w:val="BalloonTextChar"/>
    <w:rsid w:val="00BA3183"/>
    <w:rPr>
      <w:rFonts w:ascii="Tahoma" w:hAnsi="Tahoma" w:cs="Tahoma"/>
      <w:sz w:val="16"/>
      <w:szCs w:val="16"/>
    </w:rPr>
  </w:style>
  <w:style w:type="character" w:customStyle="1" w:styleId="BalloonTextChar">
    <w:name w:val="Balloon Text Char"/>
    <w:link w:val="BalloonText"/>
    <w:rsid w:val="00BA3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1EDC-BA1F-4712-8384-BF60F08C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Sample Proclamation</vt:lpstr>
    </vt:vector>
  </TitlesOfParts>
  <Company>ACTE</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Proclamation</dc:title>
  <dc:subject/>
  <dc:creator>Sean Lynch</dc:creator>
  <cp:keywords/>
  <cp:lastModifiedBy>Casey White-Zollman</cp:lastModifiedBy>
  <cp:revision>2</cp:revision>
  <cp:lastPrinted>2014-12-16T22:15:00Z</cp:lastPrinted>
  <dcterms:created xsi:type="dcterms:W3CDTF">2025-12-11T23:15:00Z</dcterms:created>
  <dcterms:modified xsi:type="dcterms:W3CDTF">2025-12-11T23:15:00Z</dcterms:modified>
</cp:coreProperties>
</file>